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EDE5D3"/>
          </w:tcPr>
          <w:p>
            <w:r/>
            <w:r>
              <w:rPr>
                <w:b/>
              </w:rPr>
              <w:t>Arbejdsudgave – udfyld felterne i [kantede parenteser], og slet vejledningstekst, I ikke skal bruge.</w:t>
            </w:r>
          </w:p>
        </w:tc>
      </w:tr>
    </w:tbl>
    <w:p>
      <w:pPr>
        <w:spacing w:before="240"/>
      </w:pPr>
      <w:r>
        <w:rPr>
          <w:color w:val="A8231B"/>
          <w:sz w:val="18"/>
        </w:rPr>
        <w:t>AI I VIRKSOMHEDEN · PAKKE D: TRYG AI I HVERDAGEN</w:t>
      </w:r>
    </w:p>
    <w:p>
      <w:pPr>
        <w:pStyle w:val="Title"/>
      </w:pPr>
      <w:r>
        <w:t>AI-spilleregler</w:t>
      </w:r>
    </w:p>
    <w:p>
      <w:r>
        <w:rPr>
          <w:color w:val="5C554A"/>
          <w:sz w:val="26"/>
        </w:rPr>
        <w:t>Sådan bruger vi AI i hverdagen – en skabelon, I selv tilpasser og godkender</w:t>
      </w:r>
    </w:p>
    <w:p>
      <w:r>
        <w:rPr>
          <w:color w:val="5C554A"/>
          <w:sz w:val="18"/>
        </w:rPr>
        <w:t>Version 1.0 · kilder kontrolleret 17.10.2026 · status: Kildekontrolleret · ikke afprøvet hos en kunde</w:t>
      </w:r>
    </w:p>
    <w:p>
      <w:r>
        <w:rPr>
          <w:color w:val="5C554A"/>
          <w:sz w:val="18"/>
        </w:rPr>
        <w:t>Online: https://ai-cases.dk/ai-i-virksomheden/tryg-ai-i-hverdagen/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411"/>
      </w:tblGrid>
      <w:tr>
        <w:trPr>
          <w:cantSplit/>
        </w:trPr>
        <w:tc>
          <w:tcPr>
            <w:tcW w:type="dxa" w:w="9411"/>
            <w:shd w:val="clear" w:color="auto" w:fill="F7F2E8"/>
          </w:tcPr>
          <w:p>
            <w:r/>
            <w:r>
              <w:rPr>
                <w:b/>
              </w:rPr>
              <w:t>Før I bruger skabelonen</w:t>
            </w:r>
          </w:p>
          <w:p>
            <w:pPr>
              <w:spacing w:after="40"/>
            </w:pPr>
            <w:r>
              <w:t>Skabelonen er ikke juridisk rådgivning og sikrer ikke GDPR-efterlevelse. Tilpas den til jeres værktøjer, aftaler og data, og få den godkendt af ledelsen – og af den, der har ansvaret for databeskyttelse, hvor det er relevant.</w:t>
            </w:r>
          </w:p>
        </w:tc>
      </w:tr>
    </w:tbl>
    <w:p/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64"/>
        <w:gridCol w:w="5646"/>
      </w:tblGrid>
      <w:tr>
        <w:trPr>
          <w:tblHeader w:val="true"/>
          <w:cantSplit/>
        </w:trPr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Felt</w:t>
            </w:r>
          </w:p>
        </w:tc>
        <w:tc>
          <w:tcPr>
            <w:tcW w:type="dxa" w:w="564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Udfyld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Virksomhed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Version og godkendelsesdato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Ejer af spillereglerne (rolle)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Næste gennemgang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Heading1"/>
      </w:pPr>
      <w:r>
        <w:t>1. Hvorfor har vi spilleregler?</w:t>
      </w:r>
    </w:p>
    <w:p>
      <w:r>
        <w:t>Vi vil gerne bruge AI til at gøre arbejdet lettere. Reglerne skal gøre det trygt: du ved, hvilke værktøjer du må bruge, til hvilke data, og hvad du gør, hvis noget går galt. Er du i tvivl, så spørg [Kontakt ved spørgsmål].</w:t>
      </w:r>
    </w:p>
    <w:p>
      <w:pPr>
        <w:pStyle w:val="Heading1"/>
      </w:pPr>
      <w:r>
        <w:t>2. Godkendte værktøjer og konti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64"/>
        <w:gridCol w:w="5646"/>
      </w:tblGrid>
      <w:tr>
        <w:trPr>
          <w:tblHeader w:val="true"/>
          <w:cantSplit/>
        </w:trPr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Felt</w:t>
            </w:r>
          </w:p>
        </w:tc>
        <w:tc>
          <w:tcPr>
            <w:tcW w:type="dxa" w:w="564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Udfyld</w:t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Godkendte AI-værktøjer og konti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  <w:tr>
        <w:trPr>
          <w:cantSplit/>
        </w:trPr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Ikke godkendt</w:t>
            </w:r>
          </w:p>
        </w:tc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</w:r>
          </w:p>
        </w:tc>
      </w:tr>
    </w:tbl>
    <w:p/>
    <w:p>
      <w:pPr>
        <w:pStyle w:val="ListBullet"/>
      </w:pPr>
      <w:r>
        <w:t>Brug altid din arbejdskonto – aldrig en privat konto – til arbejdsopgaver.</w:t>
      </w:r>
    </w:p>
    <w:p>
      <w:pPr>
        <w:pStyle w:val="ListBullet"/>
      </w:pPr>
      <w:r>
        <w:t>Nye AI-værktøjer, plugins, agenter og browserudvidelser skal godkendes, før de bruges.</w:t>
      </w:r>
    </w:p>
    <w:p>
      <w:pPr>
        <w:pStyle w:val="Heading1"/>
      </w:pPr>
      <w:r>
        <w:t>3. Hvilke data må du bruge?</w:t>
      </w:r>
    </w:p>
    <w:p>
      <w:r>
        <w:t>Trafiklyset er vores interne klassifikation. Farven alene er ikke en juridisk tilladelse – følg eksemplerne og spørg, når du er i tvivl.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882"/>
        <w:gridCol w:w="3764"/>
        <w:gridCol w:w="3764"/>
      </w:tblGrid>
      <w:tr>
        <w:trPr>
          <w:tblHeader w:val="true"/>
          <w:cantSplit/>
        </w:trPr>
        <w:tc>
          <w:tcPr>
            <w:tcW w:type="dxa" w:w="1882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Niveau</w:t>
            </w:r>
          </w:p>
        </w:tc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Hvad betyder det</w:t>
            </w:r>
          </w:p>
        </w:tc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Vores eksempler</w:t>
            </w:r>
          </w:p>
        </w:tc>
      </w:tr>
      <w:tr>
        <w:trPr>
          <w:cantSplit/>
        </w:trPr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Grøn – offentligt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Oplysninger, der allerede er offentlige. Gode til øvelser.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[Må bruges (offentligt)]</w:t>
            </w:r>
          </w:p>
        </w:tc>
      </w:tr>
      <w:tr>
        <w:trPr>
          <w:cantSplit/>
        </w:trPr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Gul – internt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Almindelige interne oplysninger. Kun i godkendte værktøjer og konti.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[Må bruges i godkendte værktøjer (internt)]</w:t>
            </w:r>
          </w:p>
        </w:tc>
      </w:tr>
      <w:tr>
        <w:trPr>
          <w:cantSplit/>
        </w:trPr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Rød – fortroligt og personoplysninger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Kræver vores konkrete regler og ofte en afklaring med den, der har ansvaret for databeskyttelse.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[Kun efter konkrete regler (fortroligt og personoplysninger)]</w:t>
            </w:r>
          </w:p>
        </w:tc>
      </w:tr>
      <w:tr>
        <w:trPr>
          <w:cantSplit/>
        </w:trPr>
        <w:tc>
          <w:tcPr>
            <w:tcW w:type="dxa" w:w="1882"/>
          </w:tcPr>
          <w:p>
            <w:pPr>
              <w:spacing w:after="40"/>
            </w:pPr>
            <w:r/>
            <w:r>
              <w:rPr>
                <w:b w:val="0"/>
              </w:rPr>
              <w:t>Aldrig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Bruges aldrig som input eller øvelsesdata.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[Aldrig]</w:t>
            </w:r>
          </w:p>
        </w:tc>
      </w:tr>
    </w:tbl>
    <w:p/>
    <w:p>
      <w:pPr>
        <w:pStyle w:val="ListBullet"/>
      </w:pPr>
      <w:r>
        <w:t>Brug så få oplysninger som muligt. Fjern navne og andre personoplysninger, når de ikke er nødvendige.</w:t>
      </w:r>
    </w:p>
    <w:p>
      <w:pPr>
        <w:pStyle w:val="ListBullet"/>
      </w:pPr>
      <w:r>
        <w:t>»Bruges ikke til træning« betyder ikke »gemmes aldrig«. Spørg, hvis du er i tvivl om, hvad værktøjet gemmer.</w:t>
      </w:r>
    </w:p>
    <w:p>
      <w:pPr>
        <w:pStyle w:val="Heading1"/>
      </w:pPr>
      <w:r>
        <w:t>4. Dit ansvar for resultatet</w:t>
      </w:r>
    </w:p>
    <w:p>
      <w:pPr>
        <w:pStyle w:val="ListBullet"/>
      </w:pPr>
      <w:r>
        <w:t>Alt, hvad AI skriver, er et udkast. Du er ansvarlig for det, du bruger eller sender videre.</w:t>
      </w:r>
    </w:p>
    <w:p>
      <w:pPr>
        <w:pStyle w:val="ListBullet"/>
      </w:pPr>
      <w:r>
        <w:t>Tjek fakta, tal, navne og henvisninger mod kilden. AI kan opfinde ting, der lyder rigtige.</w:t>
      </w:r>
    </w:p>
    <w:p>
      <w:pPr>
        <w:pStyle w:val="ListBullet"/>
      </w:pPr>
      <w:r>
        <w:t>Eksternt indhold (til kunder, myndigheder eller offentligheden) godkendes af [Godkender eksternt indhold].</w:t>
      </w:r>
    </w:p>
    <w:p>
      <w:pPr>
        <w:pStyle w:val="ListBullet"/>
      </w:pPr>
      <w:r>
        <w:t>Tjek, at du har ret til at bruge tekst, billeder og andet materiale, før det bruges eksternt.</w:t>
      </w:r>
    </w:p>
    <w:p>
      <w:pPr>
        <w:pStyle w:val="ListBullet"/>
      </w:pPr>
      <w:r>
        <w:t>AI må ikke sende beskeder, træffe beslutninger om personer eller ændre systemer på egen hånd.</w:t>
      </w:r>
    </w:p>
    <w:p>
      <w:pPr>
        <w:pStyle w:val="Heading1"/>
      </w:pPr>
      <w:r>
        <w:t>5. Mistænkelige instruktioner</w:t>
      </w:r>
    </w:p>
    <w:p>
      <w:r>
        <w:t>Dokumenter, mails og websider kan indeholde skjulte instruktioner, der forsøger at få AI-værktøjet til at gøre noget andet end det, du har bedt om. Hvis et svar opfører sig mærkeligt – fx beder dig klikke på et link, dele oplysninger eller ændre noget – så stop, brug ikke svaret, og kontakt [Kontakt ved fejl eller utilsigtet deling].</w:t>
      </w:r>
    </w:p>
    <w:p>
      <w:pPr>
        <w:pStyle w:val="Heading1"/>
      </w:pPr>
      <w:r>
        <w:t>6. Når noget går galt</w:t>
      </w:r>
    </w:p>
    <w:p>
      <w:pPr>
        <w:ind w:left="397" w:hanging="397"/>
      </w:pPr>
      <w:r>
        <w:rPr>
          <w:b/>
        </w:rPr>
        <w:t xml:space="preserve">1. </w:t>
      </w:r>
      <w:r>
        <w:t>Har du brugt data, du ikke måtte – eller delt noget ved en fejl – så stop og slet det, du kan.</w:t>
      </w:r>
    </w:p>
    <w:p>
      <w:pPr>
        <w:ind w:left="397" w:hanging="397"/>
      </w:pPr>
      <w:r>
        <w:rPr>
          <w:b/>
        </w:rPr>
        <w:t xml:space="preserve">2. </w:t>
      </w:r>
      <w:r>
        <w:t>Kontakt [Kontakt ved fejl eller utilsigtet deling]. Det er altid bedre at sige det med det samme.</w:t>
      </w:r>
    </w:p>
    <w:p>
      <w:pPr>
        <w:ind w:left="397" w:hanging="397"/>
      </w:pPr>
      <w:r>
        <w:rPr>
          <w:b/>
        </w:rPr>
        <w:t xml:space="preserve">3. </w:t>
      </w:r>
      <w:r>
        <w:t>Den, der har ansvaret for databeskyttelse ([Ansvarlig for databeskyttelse]), vurderer, om der er sket et brud, og hvad der skal gøres.</w:t>
      </w:r>
    </w:p>
    <w:p>
      <w:pPr>
        <w:ind w:left="397" w:hanging="397"/>
      </w:pPr>
      <w:r>
        <w:rPr>
          <w:b/>
        </w:rPr>
        <w:t xml:space="preserve">4. </w:t>
      </w:r>
      <w:r>
        <w:t>Ingen bliver udskammet for at sige til. Vi bruger fejl til at gøre reglerne bedre.</w:t>
      </w:r>
    </w:p>
    <w:p>
      <w:pPr>
        <w:pStyle w:val="Heading1"/>
      </w:pPr>
      <w:r>
        <w:t>7. Hvem beslutter hvad?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5646"/>
        <w:gridCol w:w="3764"/>
      </w:tblGrid>
      <w:tr>
        <w:trPr>
          <w:tblHeader w:val="true"/>
          <w:cantSplit/>
        </w:trPr>
        <w:tc>
          <w:tcPr>
            <w:tcW w:type="dxa" w:w="5647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Spørgsmål</w:t>
            </w:r>
          </w:p>
        </w:tc>
        <w:tc>
          <w:tcPr>
            <w:tcW w:type="dxa" w:w="3764"/>
            <w:shd w:val="clear" w:color="auto" w:fill="EDE5D3"/>
          </w:tcPr>
          <w:p>
            <w:pPr>
              <w:spacing w:after="40"/>
            </w:pPr>
            <w:r/>
            <w:r>
              <w:rPr>
                <w:b/>
              </w:rPr>
              <w:t>Hvem</w:t>
            </w:r>
          </w:p>
        </w:tc>
      </w:tr>
      <w:tr>
        <w:trPr>
          <w:cantSplit/>
        </w:trPr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Må jeg bruge denne opgave og disse data?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[Kontakt ved spørgsmål]</w:t>
            </w:r>
          </w:p>
        </w:tc>
      </w:tr>
      <w:tr>
        <w:trPr>
          <w:cantSplit/>
        </w:trPr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Nyt værktøj, plugin eller agent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[Ejer af spillereglerne (rolle)] sammen med IT</w:t>
            </w:r>
          </w:p>
        </w:tc>
      </w:tr>
      <w:tr>
        <w:trPr>
          <w:cantSplit/>
        </w:trPr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Adgange og deling i SharePoint, Teams og OneDrive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IT</w:t>
            </w:r>
          </w:p>
        </w:tc>
      </w:tr>
      <w:tr>
        <w:trPr>
          <w:cantSplit/>
        </w:trPr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Personoplysninger og databeskyttelse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[Ansvarlig for databeskyttelse]</w:t>
            </w:r>
          </w:p>
        </w:tc>
      </w:tr>
      <w:tr>
        <w:trPr>
          <w:cantSplit/>
        </w:trPr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Eksternt indhold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[Godkender eksternt indhold]</w:t>
            </w:r>
          </w:p>
        </w:tc>
      </w:tr>
      <w:tr>
        <w:trPr>
          <w:cantSplit/>
        </w:trPr>
        <w:tc>
          <w:tcPr>
            <w:tcW w:type="dxa" w:w="5647"/>
          </w:tcPr>
          <w:p>
            <w:pPr>
              <w:spacing w:after="40"/>
            </w:pPr>
            <w:r/>
            <w:r>
              <w:rPr>
                <w:b w:val="0"/>
              </w:rPr>
              <w:t>Ændringer i spillereglerne</w:t>
            </w:r>
          </w:p>
        </w:tc>
        <w:tc>
          <w:tcPr>
            <w:tcW w:type="dxa" w:w="3764"/>
          </w:tcPr>
          <w:p>
            <w:pPr>
              <w:spacing w:after="40"/>
            </w:pPr>
            <w:r/>
            <w:r>
              <w:rPr>
                <w:b w:val="0"/>
              </w:rPr>
              <w:t>[Ejer af spillereglerne (rolle)]</w:t>
            </w:r>
          </w:p>
        </w:tc>
      </w:tr>
    </w:tbl>
    <w:p/>
    <w:p>
      <w:pPr>
        <w:pStyle w:val="Heading1"/>
      </w:pPr>
      <w:r>
        <w:t>8. Hjælp og opdatering</w:t>
      </w:r>
    </w:p>
    <w:p>
      <w:r>
        <w:t>Spørgsmål: [Kontakt ved spørgsmål]. Reglerne gennemgås: [Næste gennemgang]. Når reglerne ændres, får de en ny version og dato.</w:t>
      </w:r>
    </w:p>
    <w:p>
      <w:pPr>
        <w:pStyle w:val="Heading1"/>
      </w:pPr>
      <w:r>
        <w:t>Kilder, version og licens</w:t>
      </w:r>
    </w:p>
    <w:p>
      <w:r>
        <w:t>Påstande om produkter og regler bygger på disse officielle kilder (kontrolleret på den angivne dato). Resten er vores egne, redaktionelle forslag.</w:t>
      </w:r>
    </w:p>
    <w:p>
      <w:pPr>
        <w:pStyle w:val="ListBullet"/>
      </w:pPr>
      <w:r>
        <w:t>Datatilsynet: Forhold dig til AI-værktøjer – https://www.datatilsynet.dk/regler-og-vejledning/behandlingssikkerhed/ugens-sikkerhedstip/2024/mar/forhold-dig-til-ai-vaerktoejer (kontrolleret 17.10.2026)</w:t>
      </w:r>
    </w:p>
    <w:p>
      <w:pPr>
        <w:pStyle w:val="ListBullet"/>
      </w:pPr>
      <w:r>
        <w:t>Digitaliseringsstyrelsen: AI-færdigheder – https://digst.dk/tilsyn/ai-forordningen/reglerne-i-ai-forordningen/ai-faerdigheder/ (kontrolleret 17.10.2026)</w:t>
      </w:r>
    </w:p>
    <w:p>
      <w:pPr>
        <w:pStyle w:val="ListBullet"/>
      </w:pPr>
      <w:r>
        <w:t>Digitaliseringsstyrelsen: AI Omnibus – https://digst.dk/tilsyn/ai-forordningen/ai-omnibus/ (kontrolleret 17.10.2026)</w:t>
      </w:r>
    </w:p>
    <w:p>
      <w:pPr>
        <w:pStyle w:val="ListBullet"/>
      </w:pPr>
      <w:r>
        <w:t>Microsoft: Overview of Microsoft Copilot Chat – https://learn.microsoft.com/en-us/copilot/overview (kontrolleret 17.10.2026)</w:t>
      </w:r>
    </w:p>
    <w:p>
      <w:pPr>
        <w:pStyle w:val="ListBullet"/>
      </w:pPr>
      <w:r>
        <w:t>Microsoft: Data, Privacy, and Security for Microsoft Copilot – https://learn.microsoft.com/en-us/copilot/microsoft-365/microsoft-365-copilot-privacy (kontrolleret 17.10.2026)</w:t>
      </w:r>
    </w:p>
    <w:p>
      <w:pPr>
        <w:pStyle w:val="ListBullet"/>
      </w:pPr>
      <w:r>
        <w:t>Microsoft: What is Microsoft Copilot? – https://learn.microsoft.com/en-us/microsoft-365/copilot/microsoft-365-copilot-overview (kontrolleret 17.10.2026)</w:t>
      </w:r>
    </w:p>
    <w:p>
      <w:pPr>
        <w:pStyle w:val="ListBullet"/>
      </w:pPr>
      <w:r>
        <w:t>Anthropic: Use skills in Claude – https://support.claude.com/en/articles/12512180-use-skills-in-claude (kontrolleret 17.10.2026)</w:t>
      </w:r>
    </w:p>
    <w:p>
      <w:r>
        <w:t>Versioner:</w:t>
      </w:r>
    </w:p>
    <w:p>
      <w:pPr>
        <w:pStyle w:val="ListBullet"/>
      </w:pPr>
      <w:r>
        <w:t>1.0 (17.10.2026): Første version.</w:t>
      </w:r>
    </w:p>
    <w:p>
      <w:r>
        <w:rPr>
          <w:color w:val="5C554A"/>
          <w:sz w:val="18"/>
        </w:rPr>
        <w:t>© ai-cases.dk · CC BY 4.0 – gratis at bruge og tilpasse internt. Kreditér »ai-cases.dk« ved videreudgivelse. Licens: https://creativecommons.org/licenses/by/4.0/deed.da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C554A"/>
        <w:sz w:val="16"/>
      </w:rPr>
      <w:t>ai-cases.dk · Pakke D: Tryg AI i hverdagen · AI-spilleregler v1.0 · CC BY 4.0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 w:eastAsia="Georgia" w:cs="Georgia"/>
      <w:b/>
      <w:bCs/>
      <w:color w:val="15120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 w:eastAsia="Georgia" w:cs="Georgia"/>
      <w:b/>
      <w:bCs/>
      <w:color w:val="15120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Georgia" w:hAnsi="Georgia" w:eastAsia="Georgia" w:cs="Georgia"/>
      <w:b/>
      <w:bCs/>
      <w:color w:val="15120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Georgia" w:hAnsi="Georgia" w:eastAsia="Georgia" w:cs="Georgia"/>
      <w:b w:val="0"/>
      <w:color w:val="15120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AI-spilleregler – Tryg AI i hverdagen</dc:title>
  <dc:subject>Pakke D: Tryg AI i hverdagen</dc:subject>
  <dc:creator>ai-cases.dk</dc:creator>
  <cp:keywords>ai-cases.dk; Praktisk AI</cp:keywords>
  <dc:description>© ai-cases.dk · CC BY 4.0 – gratis at bruge og tilpasse internt. Kreditér »ai-cases.dk« ved videreudgivelse. Licens: https://creativecommons.org/licenses/by/4.0/deed.da</dc:description>
  <cp:lastModifiedBy>ai-cases.dk</cp:lastModifiedBy>
  <cp:revision>1</cp:revision>
  <dcterms:created xsi:type="dcterms:W3CDTF">2026-10-17T00:00:00Z</dcterms:created>
  <dcterms:modified xsi:type="dcterms:W3CDTF">2026-10-17T00:00:00Z</dcterms:modified>
  <cp:category/>
  <cp:lastPrinted>2026-10-17T00:00:00Z</cp:lastPrinted>
  <dc:language>da-DK</dc:language>
</cp:coreProperties>
</file>